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E68442" w14:textId="77777777" w:rsidR="001A5ECE" w:rsidRDefault="00AE0CFD">
      <w:pPr>
        <w:pStyle w:val="pc"/>
      </w:pPr>
      <w:r>
        <w:rPr>
          <w:rStyle w:val="s1"/>
        </w:rPr>
        <w:t>Ответ Председателя Комитета по охране прав детей МП РК от 7 сентября 2022 года на вопрос от 24 августа 2022 года № 751612/1 (dialog.egov.kz)</w:t>
      </w:r>
    </w:p>
    <w:p w14:paraId="3B6C99C4" w14:textId="77777777" w:rsidR="001A5ECE" w:rsidRDefault="00AE0CFD">
      <w:pPr>
        <w:pStyle w:val="pc"/>
      </w:pPr>
      <w:r>
        <w:rPr>
          <w:rStyle w:val="s1"/>
        </w:rPr>
        <w:t> </w:t>
      </w:r>
    </w:p>
    <w:p w14:paraId="5053BA1C" w14:textId="77777777" w:rsidR="001A5ECE" w:rsidRDefault="00AE0CFD">
      <w:pPr>
        <w:pStyle w:val="pj"/>
      </w:pPr>
      <w:r>
        <w:rPr>
          <w:rStyle w:val="s0"/>
          <w:b/>
          <w:bCs/>
          <w:i/>
          <w:iCs/>
        </w:rPr>
        <w:t>Вопрос:</w:t>
      </w:r>
    </w:p>
    <w:p w14:paraId="3717B012" w14:textId="77777777" w:rsidR="001A5ECE" w:rsidRDefault="00D3240E">
      <w:pPr>
        <w:pStyle w:val="pj"/>
      </w:pPr>
      <w:hyperlink r:id="rId6" w:history="1">
        <w:r w:rsidR="00AE0CFD">
          <w:rPr>
            <w:rStyle w:val="a4"/>
            <w:b/>
            <w:bCs/>
            <w:i/>
            <w:iCs/>
          </w:rPr>
          <w:t>Приказом</w:t>
        </w:r>
      </w:hyperlink>
      <w:r w:rsidR="00AE0CFD">
        <w:rPr>
          <w:rStyle w:val="s0"/>
          <w:b/>
          <w:bCs/>
          <w:i/>
          <w:iCs/>
        </w:rPr>
        <w:t xml:space="preserve"> Министра просвещения РК от 10 августа 2022 года № 359 в </w:t>
      </w:r>
      <w:hyperlink r:id="rId7" w:anchor="sub_id=100" w:history="1">
        <w:r w:rsidR="00AE0CFD">
          <w:rPr>
            <w:rStyle w:val="a4"/>
            <w:b/>
            <w:bCs/>
            <w:i/>
            <w:iCs/>
          </w:rPr>
          <w:t>Правила</w:t>
        </w:r>
      </w:hyperlink>
      <w:r w:rsidR="00AE0CFD">
        <w:rPr>
          <w:rStyle w:val="s0"/>
          <w:b/>
          <w:bCs/>
          <w:i/>
          <w:iCs/>
        </w:rPr>
        <w:t xml:space="preserve"> организации питания обучающихся в государственных организациях среднего образования, внешкольных организациях дополнительного образования, а также приобретения товаров, связанных с обеспечением питания детей, воспитывающихся и обучающихся в государственных дошкольных организациях, организациях образования для детей-сирот и детей, оставшихся без попечения родителей, организациях технического и профессионального, </w:t>
      </w:r>
      <w:proofErr w:type="spellStart"/>
      <w:r w:rsidR="00AE0CFD">
        <w:rPr>
          <w:rStyle w:val="s0"/>
          <w:b/>
          <w:bCs/>
          <w:i/>
          <w:iCs/>
        </w:rPr>
        <w:t>послесреднего</w:t>
      </w:r>
      <w:proofErr w:type="spellEnd"/>
      <w:r w:rsidR="00AE0CFD">
        <w:rPr>
          <w:rStyle w:val="s0"/>
          <w:b/>
          <w:bCs/>
          <w:i/>
          <w:iCs/>
        </w:rPr>
        <w:t xml:space="preserve"> образования, утвержденных Приказом Министра образования и науки Республики Казахстан от 31 октября 2018 года № 598 (далее - Правила), внесены изменения и дополнения. Введенные изменения и дополнения вводятся в действие 27.08.2022г. </w:t>
      </w:r>
    </w:p>
    <w:p w14:paraId="22CA6B99" w14:textId="77777777" w:rsidR="001A5ECE" w:rsidRDefault="00AE0CFD">
      <w:pPr>
        <w:pStyle w:val="pj"/>
      </w:pPr>
      <w:r>
        <w:rPr>
          <w:rStyle w:val="s0"/>
          <w:b/>
          <w:bCs/>
          <w:i/>
          <w:iCs/>
        </w:rPr>
        <w:t xml:space="preserve">В </w:t>
      </w:r>
      <w:hyperlink r:id="rId8" w:anchor="sub_id=10800" w:history="1">
        <w:r>
          <w:rPr>
            <w:rStyle w:val="a4"/>
            <w:b/>
            <w:bCs/>
            <w:i/>
            <w:iCs/>
          </w:rPr>
          <w:t>пункт 108</w:t>
        </w:r>
      </w:hyperlink>
      <w:r>
        <w:rPr>
          <w:rStyle w:val="s0"/>
          <w:b/>
          <w:bCs/>
          <w:i/>
          <w:iCs/>
        </w:rPr>
        <w:t xml:space="preserve"> внесены изменения «При организации питания осуществляется учет посещения столовой обучающимися школ с функцией фиксации и передачи данных с контрольно-кассовых устройств на информационную платформу, интегрированную с образовательной системой, либо на образовательную систему. </w:t>
      </w:r>
    </w:p>
    <w:p w14:paraId="4A8E83E1" w14:textId="77777777" w:rsidR="001A5ECE" w:rsidRDefault="00AE0CFD">
      <w:pPr>
        <w:pStyle w:val="pj"/>
      </w:pPr>
      <w:r>
        <w:rPr>
          <w:rStyle w:val="s0"/>
          <w:b/>
          <w:bCs/>
          <w:i/>
          <w:iCs/>
        </w:rPr>
        <w:t xml:space="preserve">На платформе (системе) ежедневно размещается меню с указанием цен, фото блюд, предусматривается функционал по автоматическому информированию родителей о питании обучающихся в школьной столовой, оценке обучающимися и их родителями качества услуг, соответствия меню». </w:t>
      </w:r>
    </w:p>
    <w:p w14:paraId="58662A86" w14:textId="77777777" w:rsidR="001A5ECE" w:rsidRDefault="00AE0CFD">
      <w:pPr>
        <w:pStyle w:val="pj"/>
      </w:pPr>
      <w:r>
        <w:rPr>
          <w:rStyle w:val="s0"/>
          <w:b/>
          <w:bCs/>
          <w:i/>
          <w:iCs/>
        </w:rPr>
        <w:t xml:space="preserve">В правилах отсутствует определение терминологии «Образовательная система». </w:t>
      </w:r>
    </w:p>
    <w:p w14:paraId="627A4413" w14:textId="77777777" w:rsidR="001A5ECE" w:rsidRDefault="00AE0CFD">
      <w:pPr>
        <w:pStyle w:val="pj"/>
      </w:pPr>
      <w:r>
        <w:rPr>
          <w:rStyle w:val="s0"/>
          <w:b/>
          <w:bCs/>
          <w:i/>
          <w:iCs/>
        </w:rPr>
        <w:t xml:space="preserve">В связи с чем: </w:t>
      </w:r>
    </w:p>
    <w:p w14:paraId="07926E3D" w14:textId="77777777" w:rsidR="001A5ECE" w:rsidRDefault="00AE0CFD">
      <w:pPr>
        <w:pStyle w:val="pj"/>
      </w:pPr>
      <w:r>
        <w:rPr>
          <w:rStyle w:val="s0"/>
          <w:b/>
          <w:bCs/>
          <w:i/>
          <w:iCs/>
        </w:rPr>
        <w:t xml:space="preserve">1. Просим дать пояснения и перечислить примеры существующих образовательных систем. </w:t>
      </w:r>
    </w:p>
    <w:p w14:paraId="179BCBC4" w14:textId="77777777" w:rsidR="001A5ECE" w:rsidRDefault="00AE0CFD">
      <w:pPr>
        <w:pStyle w:val="pj"/>
      </w:pPr>
      <w:r>
        <w:rPr>
          <w:rStyle w:val="s0"/>
          <w:b/>
          <w:bCs/>
          <w:i/>
          <w:iCs/>
        </w:rPr>
        <w:t xml:space="preserve">2. Также просим разъяснить, касается ли учет посещения столовой обучающимися школ, охваченных льготным питанием или речь идет об учете всех питающихся? </w:t>
      </w:r>
    </w:p>
    <w:p w14:paraId="4EE4DB1F" w14:textId="77777777" w:rsidR="001A5ECE" w:rsidRDefault="00AE0CFD">
      <w:pPr>
        <w:pStyle w:val="pj"/>
      </w:pPr>
      <w:r>
        <w:rPr>
          <w:rStyle w:val="s0"/>
          <w:b/>
          <w:bCs/>
          <w:i/>
          <w:iCs/>
        </w:rPr>
        <w:t xml:space="preserve">3. Осуществление учета посещения допустимо формировать на основании онлайн табеля? </w:t>
      </w:r>
    </w:p>
    <w:p w14:paraId="3CB70197" w14:textId="77777777" w:rsidR="001A5ECE" w:rsidRDefault="00AE0CFD">
      <w:pPr>
        <w:pStyle w:val="pj"/>
      </w:pPr>
      <w:r>
        <w:rPr>
          <w:rStyle w:val="s0"/>
          <w:b/>
          <w:bCs/>
          <w:i/>
          <w:iCs/>
        </w:rPr>
        <w:t xml:space="preserve">4. Поясните, пожалуйста, подробнее, что подразумевается под оценкой обучающихся и их родителей? </w:t>
      </w:r>
    </w:p>
    <w:p w14:paraId="53C4C2B7" w14:textId="77777777" w:rsidR="001A5ECE" w:rsidRDefault="00AE0CFD">
      <w:pPr>
        <w:pStyle w:val="pj"/>
      </w:pPr>
      <w:r>
        <w:rPr>
          <w:rStyle w:val="s0"/>
          <w:b/>
          <w:bCs/>
          <w:i/>
          <w:iCs/>
        </w:rPr>
        <w:t>5. Также просим пояснить, вправе ли поставщики услуг по организации питания самостоятельно выбирать поставщика программного обеспечения, позволяющего обеспечивать учет посещения столовой обучающимися школ с функцией фиксации и передачи данных с контрольно-кассовых устройств на информационную платформу, интегрированную с образовательной системой, либо уполномоченным органом будет определен конкретный поставщик, с которым предпринимателей обяжут заключить договора?</w:t>
      </w:r>
    </w:p>
    <w:p w14:paraId="3E6EBD8C" w14:textId="77777777" w:rsidR="001A5ECE" w:rsidRDefault="00AE0CFD">
      <w:pPr>
        <w:pStyle w:val="pj"/>
      </w:pPr>
      <w:r>
        <w:rPr>
          <w:rStyle w:val="s0"/>
          <w:b/>
          <w:bCs/>
          <w:i/>
          <w:iCs/>
        </w:rPr>
        <w:t> </w:t>
      </w:r>
    </w:p>
    <w:p w14:paraId="396A803F" w14:textId="77777777" w:rsidR="001A5ECE" w:rsidRDefault="00AE0CFD">
      <w:pPr>
        <w:pStyle w:val="pj"/>
      </w:pPr>
      <w:r>
        <w:rPr>
          <w:rStyle w:val="s0"/>
          <w:b/>
          <w:bCs/>
          <w:i/>
          <w:iCs/>
        </w:rPr>
        <w:t>Ответ:</w:t>
      </w:r>
    </w:p>
    <w:p w14:paraId="45C6C94D" w14:textId="77777777" w:rsidR="001A5ECE" w:rsidRDefault="00AE0CFD">
      <w:pPr>
        <w:pStyle w:val="pj"/>
      </w:pPr>
      <w:r>
        <w:rPr>
          <w:rStyle w:val="s0"/>
        </w:rPr>
        <w:t xml:space="preserve">Комитет по охране прав детей Министерства просвещения Республики Казахстан относительно разъяснения </w:t>
      </w:r>
      <w:hyperlink r:id="rId9" w:history="1">
        <w:r>
          <w:rPr>
            <w:rStyle w:val="a4"/>
          </w:rPr>
          <w:t>приказа</w:t>
        </w:r>
      </w:hyperlink>
      <w:r>
        <w:rPr>
          <w:rStyle w:val="s0"/>
        </w:rPr>
        <w:t xml:space="preserve"> Министра образования и науки Республики Казахстан от 31 октября 2018 года № 598 «Об утверждении Правил организации питания обучающихся в государственных организациях среднего образования, внешкольных организациях дополнительного образования, а также приобретения товаров, связанных с обеспечением питания детей, воспитывающихся и обучающихся в государственных </w:t>
      </w:r>
      <w:r>
        <w:rPr>
          <w:rStyle w:val="s0"/>
        </w:rPr>
        <w:lastRenderedPageBreak/>
        <w:t xml:space="preserve">дошкольных организациях, организациях образования для детей-сирот и детей, оставшихся без попечения родителей, организациях технического и профессионального, </w:t>
      </w:r>
      <w:proofErr w:type="spellStart"/>
      <w:r>
        <w:rPr>
          <w:rStyle w:val="s0"/>
        </w:rPr>
        <w:t>послесреднего</w:t>
      </w:r>
      <w:proofErr w:type="spellEnd"/>
      <w:r>
        <w:rPr>
          <w:rStyle w:val="s0"/>
        </w:rPr>
        <w:t xml:space="preserve"> образования» (далее - Правила), сообщает следующее. </w:t>
      </w:r>
    </w:p>
    <w:p w14:paraId="762575B2" w14:textId="77777777" w:rsidR="001A5ECE" w:rsidRDefault="00AE0CFD">
      <w:pPr>
        <w:pStyle w:val="pj"/>
      </w:pPr>
      <w:r>
        <w:rPr>
          <w:rStyle w:val="s0"/>
        </w:rPr>
        <w:t xml:space="preserve">Согласно </w:t>
      </w:r>
      <w:hyperlink r:id="rId10" w:anchor="sub_id=10800" w:history="1">
        <w:r>
          <w:rPr>
            <w:rStyle w:val="a4"/>
          </w:rPr>
          <w:t>пункту 108</w:t>
        </w:r>
      </w:hyperlink>
      <w:r>
        <w:rPr>
          <w:rStyle w:val="s0"/>
        </w:rPr>
        <w:t xml:space="preserve"> Правил при организации питания осуществляется учет посещения столовой обучающимися школ с функцией фиксации и передачи данных с контрольно-кассовых устройств на информационную платформу, интегрированную с образовательной системой, либо на образовательную систему. </w:t>
      </w:r>
    </w:p>
    <w:p w14:paraId="16212EFE" w14:textId="77777777" w:rsidR="001A5ECE" w:rsidRDefault="00AE0CFD">
      <w:pPr>
        <w:pStyle w:val="pj"/>
      </w:pPr>
      <w:r>
        <w:rPr>
          <w:rStyle w:val="s0"/>
        </w:rPr>
        <w:t xml:space="preserve">На платформе (системе) ежедневно размещается меню с указанием цен, фото блюд, предусматривается функционал по автоматическому информированию родителей о питании обучающихся в школьной столовой, оценке обучающимися и их родителями качества услуг, соответствия меню. </w:t>
      </w:r>
    </w:p>
    <w:p w14:paraId="12148D89" w14:textId="77777777" w:rsidR="001A5ECE" w:rsidRDefault="00AE0CFD">
      <w:pPr>
        <w:pStyle w:val="pj"/>
      </w:pPr>
      <w:r>
        <w:rPr>
          <w:rStyle w:val="s0"/>
        </w:rPr>
        <w:t xml:space="preserve">1. На сегодняшний день в школах страны используются 2 образовательные системы (платформы) </w:t>
      </w:r>
      <w:proofErr w:type="spellStart"/>
      <w:r>
        <w:rPr>
          <w:rStyle w:val="s0"/>
        </w:rPr>
        <w:t>Кунделик</w:t>
      </w:r>
      <w:proofErr w:type="spellEnd"/>
      <w:r>
        <w:rPr>
          <w:rStyle w:val="s0"/>
        </w:rPr>
        <w:t xml:space="preserve">, </w:t>
      </w:r>
      <w:proofErr w:type="spellStart"/>
      <w:r>
        <w:rPr>
          <w:rStyle w:val="s0"/>
        </w:rPr>
        <w:t>Bilimal</w:t>
      </w:r>
      <w:proofErr w:type="spellEnd"/>
      <w:r>
        <w:rPr>
          <w:rStyle w:val="s0"/>
        </w:rPr>
        <w:t xml:space="preserve">. </w:t>
      </w:r>
    </w:p>
    <w:p w14:paraId="39866A48" w14:textId="77777777" w:rsidR="001A5ECE" w:rsidRDefault="00AE0CFD">
      <w:pPr>
        <w:pStyle w:val="pj"/>
      </w:pPr>
      <w:r>
        <w:rPr>
          <w:rStyle w:val="s0"/>
        </w:rPr>
        <w:t xml:space="preserve">2. Учет посещения столовой обучающимися школ с функцией фиксации и передачи данных с контрольно-кассовых устройств на информационную платформу, интегрированную с образовательной системой, либо на образовательную систему осуществляется для контроля за расходованием средств (бюджетных и родительских средств). </w:t>
      </w:r>
    </w:p>
    <w:p w14:paraId="74A817C2" w14:textId="77777777" w:rsidR="001A5ECE" w:rsidRDefault="00AE0CFD">
      <w:pPr>
        <w:pStyle w:val="pj"/>
      </w:pPr>
      <w:r>
        <w:rPr>
          <w:rStyle w:val="s0"/>
        </w:rPr>
        <w:t xml:space="preserve">3. Интеграция с образовательной системой предусмотрена в целях обеспечения прозрачности учета посещения столовой обучающимися школ, в том числе посредством сопоставления со сведениями о посещаемости учащихся организаций образования (электронный учебный журнал). </w:t>
      </w:r>
    </w:p>
    <w:p w14:paraId="6FA451E1" w14:textId="77777777" w:rsidR="001A5ECE" w:rsidRDefault="00AE0CFD">
      <w:pPr>
        <w:pStyle w:val="pj"/>
      </w:pPr>
      <w:r>
        <w:rPr>
          <w:rStyle w:val="s0"/>
        </w:rPr>
        <w:t xml:space="preserve">4. Для оценки качества услуг, соответствия меню на платформе (системе) предусматривается функционал для размещения отзывов о школьном питании обучающимися и их родителями (по желанию). </w:t>
      </w:r>
    </w:p>
    <w:p w14:paraId="0DE60DDE" w14:textId="77777777" w:rsidR="001A5ECE" w:rsidRDefault="00AE0CFD">
      <w:pPr>
        <w:pStyle w:val="pj"/>
      </w:pPr>
      <w:r>
        <w:rPr>
          <w:rStyle w:val="s0"/>
        </w:rPr>
        <w:t xml:space="preserve">5. Поставщик вправе осуществить выбор программного обеспечения, позволяющего обеспечивать учет посещения столовой обучающимися школ с функцией фиксации и передачи данных с контрольно-кассовых устройств на информационную платформу, интегрированную с образовательной системой, если иное не предусмотрено Техническим заданием. </w:t>
      </w:r>
    </w:p>
    <w:p w14:paraId="4DAEAB21" w14:textId="77777777" w:rsidR="001A5ECE" w:rsidRDefault="00AE0CFD">
      <w:pPr>
        <w:pStyle w:val="pj"/>
      </w:pPr>
      <w:r>
        <w:rPr>
          <w:rStyle w:val="s0"/>
        </w:rPr>
        <w:t xml:space="preserve">В соответствии с </w:t>
      </w:r>
      <w:hyperlink r:id="rId11" w:anchor="sub_id=600400" w:history="1">
        <w:r>
          <w:rPr>
            <w:rStyle w:val="a4"/>
          </w:rPr>
          <w:t>пунктом 4 статьи 60</w:t>
        </w:r>
      </w:hyperlink>
      <w:r>
        <w:rPr>
          <w:rStyle w:val="s0"/>
        </w:rPr>
        <w:t xml:space="preserve"> Закона РК «О правовых актах» государственные органы, проводящие государственную политику, осуществляющие регулирование и управление в определенной отрасли (сфере деятельности) или к компетенции которых отнесено решение соответствующих вопросов, либо иные государственные органы в соответствии с предоставленными им полномочиями могут давать в пределах своей компетенции разъяснения нормативных правовых актов в отношении конкретных субъектов или применительно к конкретной ситуации. </w:t>
      </w:r>
    </w:p>
    <w:p w14:paraId="40E7F4A5" w14:textId="77777777" w:rsidR="001A5ECE" w:rsidRDefault="00AE0CFD">
      <w:pPr>
        <w:pStyle w:val="pj"/>
      </w:pPr>
      <w:r>
        <w:rPr>
          <w:rStyle w:val="s0"/>
        </w:rPr>
        <w:t xml:space="preserve">Данные разъяснения не имеют обязательной юридической силы и носят рекомендательный характер. </w:t>
      </w:r>
    </w:p>
    <w:p w14:paraId="1DA127C0" w14:textId="77777777" w:rsidR="001A5ECE" w:rsidRDefault="00AE0CFD">
      <w:pPr>
        <w:pStyle w:val="pj"/>
      </w:pPr>
      <w:r>
        <w:rPr>
          <w:rStyle w:val="s0"/>
        </w:rPr>
        <w:t xml:space="preserve">Также дополнительно сообщаем, что Вы имеете право на обжалование решения, принятого по результатам рассмотрения обращения, в соответствии со </w:t>
      </w:r>
      <w:hyperlink r:id="rId12" w:anchor="sub_id=910000" w:history="1">
        <w:r>
          <w:rPr>
            <w:rStyle w:val="a4"/>
          </w:rPr>
          <w:t>ст. 91</w:t>
        </w:r>
      </w:hyperlink>
      <w:r>
        <w:rPr>
          <w:rStyle w:val="s0"/>
        </w:rPr>
        <w:t xml:space="preserve">, </w:t>
      </w:r>
      <w:hyperlink r:id="rId13" w:anchor="sub_id=1000000" w:history="1">
        <w:r>
          <w:rPr>
            <w:rStyle w:val="a4"/>
          </w:rPr>
          <w:t>100</w:t>
        </w:r>
      </w:hyperlink>
      <w:r>
        <w:rPr>
          <w:rStyle w:val="s0"/>
        </w:rPr>
        <w:t xml:space="preserve"> Административного процедурно-процессуального Кодекса Республики Казахстан.</w:t>
      </w:r>
    </w:p>
    <w:sectPr w:rsidR="001A5ECE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E6EAD6" w14:textId="77777777" w:rsidR="00D3240E" w:rsidRDefault="00D3240E" w:rsidP="00AE0CFD">
      <w:r>
        <w:separator/>
      </w:r>
    </w:p>
  </w:endnote>
  <w:endnote w:type="continuationSeparator" w:id="0">
    <w:p w14:paraId="4B744749" w14:textId="77777777" w:rsidR="00D3240E" w:rsidRDefault="00D3240E" w:rsidP="00AE0C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2C74A5" w14:textId="77777777" w:rsidR="00AE0CFD" w:rsidRDefault="00AE0CFD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BAC7F8" w14:textId="77777777" w:rsidR="00AE0CFD" w:rsidRDefault="00AE0CFD">
    <w:pPr>
      <w:pStyle w:val="a8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E14CEC" w14:textId="77777777" w:rsidR="00AE0CFD" w:rsidRDefault="00AE0CFD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BE1649" w14:textId="77777777" w:rsidR="00D3240E" w:rsidRDefault="00D3240E" w:rsidP="00AE0CFD">
      <w:r>
        <w:separator/>
      </w:r>
    </w:p>
  </w:footnote>
  <w:footnote w:type="continuationSeparator" w:id="0">
    <w:p w14:paraId="7A661583" w14:textId="77777777" w:rsidR="00D3240E" w:rsidRDefault="00D3240E" w:rsidP="00AE0CF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3DC0C7" w14:textId="77777777" w:rsidR="00AE0CFD" w:rsidRDefault="00AE0CFD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7BDB5D" w14:textId="77777777" w:rsidR="00AE0CFD" w:rsidRDefault="00AE0CFD" w:rsidP="00AE0CFD">
    <w:pPr>
      <w:pStyle w:val="a6"/>
      <w:spacing w:after="100"/>
      <w:jc w:val="right"/>
      <w:rPr>
        <w:rFonts w:ascii="Arial" w:hAnsi="Arial" w:cs="Arial"/>
        <w:color w:val="808080"/>
        <w:sz w:val="20"/>
      </w:rPr>
    </w:pPr>
    <w:r>
      <w:rPr>
        <w:rFonts w:ascii="Arial" w:hAnsi="Arial" w:cs="Arial"/>
        <w:color w:val="808080"/>
        <w:sz w:val="20"/>
      </w:rPr>
      <w:t>Источник: Информационная система "ПАРАГРАФ"</w:t>
    </w:r>
  </w:p>
  <w:p w14:paraId="6E9B4D9B" w14:textId="77777777" w:rsidR="00AE0CFD" w:rsidRPr="00AE0CFD" w:rsidRDefault="00AE0CFD" w:rsidP="00AE0CFD">
    <w:pPr>
      <w:pStyle w:val="a6"/>
      <w:spacing w:after="100"/>
      <w:jc w:val="right"/>
      <w:rPr>
        <w:rFonts w:ascii="Arial" w:hAnsi="Arial" w:cs="Arial"/>
        <w:color w:val="808080"/>
        <w:sz w:val="20"/>
      </w:rPr>
    </w:pPr>
    <w:r>
      <w:rPr>
        <w:rFonts w:ascii="Arial" w:hAnsi="Arial" w:cs="Arial"/>
        <w:color w:val="808080"/>
        <w:sz w:val="20"/>
      </w:rPr>
      <w:t>Документ: Ответ Председателя Комитета по охране прав детей МП РК от 7 сентября 2022 года на вопрос от 24 августа 2022 года № 751612/1 (dialog.egov.kz) «Об учете посещения столовой обучающимися школ с функцией фиксации и передачи данных с контрольно-кассовых устройств на информационную платформу, интегрированную с образовательной системой»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D7308A" w14:textId="77777777" w:rsidR="00AE0CFD" w:rsidRDefault="00AE0CFD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0CFD"/>
    <w:rsid w:val="001A5ECE"/>
    <w:rsid w:val="00AE0CFD"/>
    <w:rsid w:val="00C600F8"/>
    <w:rsid w:val="00D324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D587174"/>
  <w15:docId w15:val="{3FAAE012-97BF-4537-ADF2-43C7F3B015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eastAsiaTheme="minorEastAsia"/>
      <w:sz w:val="24"/>
      <w:szCs w:val="24"/>
    </w:rPr>
  </w:style>
  <w:style w:type="paragraph" w:styleId="4">
    <w:name w:val="heading 4"/>
    <w:basedOn w:val="a"/>
    <w:link w:val="40"/>
    <w:uiPriority w:val="9"/>
    <w:qFormat/>
    <w:pPr>
      <w:keepNext/>
      <w:spacing w:before="200"/>
      <w:outlineLvl w:val="3"/>
    </w:pPr>
    <w:rPr>
      <w:rFonts w:ascii="Cambria" w:hAnsi="Cambria"/>
      <w:b/>
      <w:bCs/>
      <w:i/>
      <w:i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semiHidden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</w:rPr>
  </w:style>
  <w:style w:type="paragraph" w:styleId="a3">
    <w:name w:val="Normal (Web)"/>
    <w:basedOn w:val="a"/>
    <w:uiPriority w:val="99"/>
    <w:semiHidden/>
    <w:unhideWhenUsed/>
    <w:rPr>
      <w:color w:val="000000"/>
    </w:rPr>
  </w:style>
  <w:style w:type="paragraph" w:customStyle="1" w:styleId="pc">
    <w:name w:val="pc"/>
    <w:basedOn w:val="a"/>
    <w:pPr>
      <w:jc w:val="center"/>
    </w:pPr>
    <w:rPr>
      <w:color w:val="000000"/>
    </w:rPr>
  </w:style>
  <w:style w:type="paragraph" w:customStyle="1" w:styleId="pr">
    <w:name w:val="pr"/>
    <w:basedOn w:val="a"/>
    <w:pPr>
      <w:jc w:val="right"/>
    </w:pPr>
    <w:rPr>
      <w:color w:val="000000"/>
    </w:rPr>
  </w:style>
  <w:style w:type="paragraph" w:customStyle="1" w:styleId="pj">
    <w:name w:val="pj"/>
    <w:basedOn w:val="a"/>
    <w:pPr>
      <w:ind w:firstLine="400"/>
      <w:jc w:val="both"/>
    </w:pPr>
    <w:rPr>
      <w:color w:val="000000"/>
    </w:rPr>
  </w:style>
  <w:style w:type="paragraph" w:customStyle="1" w:styleId="pji">
    <w:name w:val="pji"/>
    <w:basedOn w:val="a"/>
    <w:pPr>
      <w:jc w:val="both"/>
    </w:pPr>
    <w:rPr>
      <w:color w:val="000000"/>
    </w:rPr>
  </w:style>
  <w:style w:type="paragraph" w:customStyle="1" w:styleId="msochpdefault">
    <w:name w:val="msochpdefault"/>
    <w:basedOn w:val="a"/>
    <w:rPr>
      <w:color w:val="000000"/>
      <w:sz w:val="20"/>
      <w:szCs w:val="20"/>
    </w:rPr>
  </w:style>
  <w:style w:type="character" w:customStyle="1" w:styleId="s1">
    <w:name w:val="s1"/>
    <w:basedOn w:val="a0"/>
    <w:rPr>
      <w:rFonts w:ascii="Times New Roman" w:hAnsi="Times New Roman" w:cs="Times New Roman" w:hint="default"/>
      <w:b/>
      <w:bCs/>
      <w:color w:val="000000"/>
    </w:rPr>
  </w:style>
  <w:style w:type="character" w:customStyle="1" w:styleId="s0">
    <w:name w:val="s0"/>
    <w:basedOn w:val="a0"/>
    <w:rPr>
      <w:rFonts w:ascii="Times New Roman" w:hAnsi="Times New Roman" w:cs="Times New Roman" w:hint="default"/>
      <w:b w:val="0"/>
      <w:bCs w:val="0"/>
      <w:i w:val="0"/>
      <w:iCs w:val="0"/>
      <w:color w:val="000000"/>
    </w:rPr>
  </w:style>
  <w:style w:type="character" w:customStyle="1" w:styleId="s2">
    <w:name w:val="s2"/>
    <w:basedOn w:val="a0"/>
    <w:rPr>
      <w:rFonts w:ascii="Times New Roman" w:hAnsi="Times New Roman" w:cs="Times New Roman" w:hint="default"/>
      <w:color w:val="333399"/>
      <w:u w:val="single"/>
    </w:rPr>
  </w:style>
  <w:style w:type="character" w:styleId="a4">
    <w:name w:val="Hyperlink"/>
    <w:basedOn w:val="a0"/>
    <w:uiPriority w:val="99"/>
    <w:semiHidden/>
    <w:unhideWhenUsed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Pr>
      <w:color w:val="800080"/>
      <w:u w:val="single"/>
    </w:rPr>
  </w:style>
  <w:style w:type="paragraph" w:styleId="a6">
    <w:name w:val="header"/>
    <w:basedOn w:val="a"/>
    <w:link w:val="a7"/>
    <w:uiPriority w:val="99"/>
    <w:unhideWhenUsed/>
    <w:rsid w:val="00AE0CFD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AE0CFD"/>
    <w:rPr>
      <w:rFonts w:eastAsiaTheme="minorEastAsia"/>
      <w:sz w:val="24"/>
      <w:szCs w:val="24"/>
    </w:rPr>
  </w:style>
  <w:style w:type="paragraph" w:styleId="a8">
    <w:name w:val="footer"/>
    <w:basedOn w:val="a"/>
    <w:link w:val="a9"/>
    <w:uiPriority w:val="99"/>
    <w:unhideWhenUsed/>
    <w:rsid w:val="00AE0CFD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AE0CFD"/>
    <w:rPr>
      <w:rFonts w:eastAsiaTheme="minorEastAsia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online.zakon.kz/Document/?doc_id=34600394" TargetMode="External"/><Relationship Id="rId13" Type="http://schemas.openxmlformats.org/officeDocument/2006/relationships/hyperlink" Target="http://online.zakon.kz/Document/?doc_id=35132264" TargetMode="External"/><Relationship Id="rId18" Type="http://schemas.openxmlformats.org/officeDocument/2006/relationships/header" Target="header3.xml"/><Relationship Id="rId3" Type="http://schemas.openxmlformats.org/officeDocument/2006/relationships/webSettings" Target="webSettings.xml"/><Relationship Id="rId21" Type="http://schemas.openxmlformats.org/officeDocument/2006/relationships/theme" Target="theme/theme1.xml"/><Relationship Id="rId7" Type="http://schemas.openxmlformats.org/officeDocument/2006/relationships/hyperlink" Target="http://online.zakon.kz/Document/?doc_id=34600394" TargetMode="External"/><Relationship Id="rId12" Type="http://schemas.openxmlformats.org/officeDocument/2006/relationships/hyperlink" Target="http://online.zakon.kz/Document/?doc_id=35132264" TargetMode="External"/><Relationship Id="rId17" Type="http://schemas.openxmlformats.org/officeDocument/2006/relationships/footer" Target="footer2.xml"/><Relationship Id="rId2" Type="http://schemas.openxmlformats.org/officeDocument/2006/relationships/settings" Target="settings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http://online.zakon.kz/Document/?doc_id=37298220" TargetMode="External"/><Relationship Id="rId11" Type="http://schemas.openxmlformats.org/officeDocument/2006/relationships/hyperlink" Target="http://online.zakon.kz/Document/?doc_id=37312788" TargetMode="External"/><Relationship Id="rId5" Type="http://schemas.openxmlformats.org/officeDocument/2006/relationships/endnotes" Target="endnotes.xml"/><Relationship Id="rId15" Type="http://schemas.openxmlformats.org/officeDocument/2006/relationships/header" Target="header2.xml"/><Relationship Id="rId10" Type="http://schemas.openxmlformats.org/officeDocument/2006/relationships/hyperlink" Target="http://online.zakon.kz/Document/?doc_id=34600394" TargetMode="External"/><Relationship Id="rId19" Type="http://schemas.openxmlformats.org/officeDocument/2006/relationships/footer" Target="footer3.xml"/><Relationship Id="rId4" Type="http://schemas.openxmlformats.org/officeDocument/2006/relationships/footnotes" Target="footnotes.xml"/><Relationship Id="rId9" Type="http://schemas.openxmlformats.org/officeDocument/2006/relationships/hyperlink" Target="http://online.zakon.kz/Document/?doc_id=34600394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946</Words>
  <Characters>5395</Characters>
  <Application>Microsoft Office Word</Application>
  <DocSecurity>0</DocSecurity>
  <Lines>44</Lines>
  <Paragraphs>12</Paragraphs>
  <ScaleCrop>false</ScaleCrop>
  <Company>SPecialiST RePack</Company>
  <LinksUpToDate>false</LinksUpToDate>
  <CharactersWithSpaces>6329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Ответ Председателя Комитета по охране прав детей МП РК от 7 сентября 2022 года на вопрос от 24 августа 2022 года № 751612/1 (dialog.egov.kz) «Об учете посещения столовой обучающимися школ с функцией фиксации и передачи данных с контрольно-кассовых устройств на информационную платформу, интегрированную с образовательной системой» (©Paragraph 2023)</dc:title>
  <dc:subject/>
  <dc:creator>Сергей Мельников</dc:creator>
  <cp:keywords/>
  <dc:description/>
  <cp:lastModifiedBy>Anna Bogan</cp:lastModifiedBy>
  <cp:revision>2</cp:revision>
  <dcterms:created xsi:type="dcterms:W3CDTF">2025-03-09T11:37:00Z</dcterms:created>
  <dcterms:modified xsi:type="dcterms:W3CDTF">2025-03-09T11:37:00Z</dcterms:modified>
</cp:coreProperties>
</file>